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6E5" w:rsidRDefault="000F56E5" w:rsidP="000F56E5">
      <w:pPr>
        <w:tabs>
          <w:tab w:val="left" w:pos="6345"/>
          <w:tab w:val="right" w:pos="9924"/>
        </w:tabs>
        <w:autoSpaceDE w:val="0"/>
        <w:spacing w:line="240" w:lineRule="atLeast"/>
        <w:jc w:val="right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Приложение №5</w:t>
      </w:r>
    </w:p>
    <w:p w:rsidR="000F56E5" w:rsidRDefault="000F56E5" w:rsidP="000F56E5">
      <w:pPr>
        <w:autoSpaceDE w:val="0"/>
        <w:spacing w:line="240" w:lineRule="atLeast"/>
        <w:jc w:val="right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>к конкурсной документации</w:t>
      </w:r>
    </w:p>
    <w:p w:rsidR="000F56E5" w:rsidRDefault="000F56E5" w:rsidP="000F56E5">
      <w:pPr>
        <w:autoSpaceDE w:val="0"/>
        <w:spacing w:line="240" w:lineRule="atLeast"/>
        <w:jc w:val="right"/>
        <w:rPr>
          <w:rFonts w:eastAsia="Calibri"/>
          <w:b/>
          <w:bCs/>
          <w:color w:val="000000"/>
          <w:lang w:eastAsia="en-US"/>
        </w:rPr>
      </w:pPr>
    </w:p>
    <w:p w:rsidR="000F56E5" w:rsidRDefault="000F56E5" w:rsidP="000F56E5">
      <w:pPr>
        <w:autoSpaceDE w:val="0"/>
        <w:spacing w:line="240" w:lineRule="atLeast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</w:rPr>
        <w:t>Долгосрочные параметры деятельности Концессионера, не являющиеся критериями конкурса</w:t>
      </w:r>
    </w:p>
    <w:p w:rsidR="000F56E5" w:rsidRDefault="000F56E5" w:rsidP="000F56E5">
      <w:pPr>
        <w:autoSpaceDE w:val="0"/>
        <w:spacing w:line="240" w:lineRule="atLeast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tbl>
      <w:tblPr>
        <w:tblW w:w="16307" w:type="dxa"/>
        <w:jc w:val="center"/>
        <w:tblLayout w:type="fixed"/>
        <w:tblLook w:val="04A0"/>
      </w:tblPr>
      <w:tblGrid>
        <w:gridCol w:w="420"/>
        <w:gridCol w:w="69"/>
        <w:gridCol w:w="72"/>
        <w:gridCol w:w="4048"/>
        <w:gridCol w:w="67"/>
        <w:gridCol w:w="4256"/>
        <w:gridCol w:w="1276"/>
        <w:gridCol w:w="852"/>
        <w:gridCol w:w="164"/>
        <w:gridCol w:w="827"/>
        <w:gridCol w:w="189"/>
        <w:gridCol w:w="663"/>
        <w:gridCol w:w="355"/>
        <w:gridCol w:w="495"/>
        <w:gridCol w:w="522"/>
        <w:gridCol w:w="325"/>
        <w:gridCol w:w="691"/>
        <w:gridCol w:w="1016"/>
      </w:tblGrid>
      <w:tr w:rsidR="00261720" w:rsidTr="009F0D4D">
        <w:trPr>
          <w:trHeight w:val="495"/>
          <w:jc w:val="center"/>
        </w:trPr>
        <w:tc>
          <w:tcPr>
            <w:tcW w:w="563" w:type="dxa"/>
            <w:gridSpan w:val="3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5744" w:type="dxa"/>
            <w:gridSpan w:val="15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МЕТОД РЕГУЛИРОВАНИЯ ТАРИФОВ: метод индексации</w:t>
            </w:r>
          </w:p>
        </w:tc>
      </w:tr>
      <w:tr w:rsidR="00261720" w:rsidTr="009F0D4D">
        <w:trPr>
          <w:trHeight w:val="361"/>
          <w:jc w:val="center"/>
        </w:trPr>
        <w:tc>
          <w:tcPr>
            <w:tcW w:w="563" w:type="dxa"/>
            <w:gridSpan w:val="3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5744" w:type="dxa"/>
            <w:gridSpan w:val="15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  <w:sz w:val="22"/>
                <w:szCs w:val="22"/>
              </w:rPr>
              <w:t>Срок действия концессионного соглашения 5 лет</w:t>
            </w:r>
          </w:p>
        </w:tc>
      </w:tr>
      <w:tr w:rsidR="00261720" w:rsidTr="009F0D4D">
        <w:trPr>
          <w:trHeight w:val="300"/>
          <w:jc w:val="center"/>
        </w:trPr>
        <w:tc>
          <w:tcPr>
            <w:tcW w:w="563" w:type="dxa"/>
            <w:gridSpan w:val="3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116" w:type="dxa"/>
            <w:gridSpan w:val="2"/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2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85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849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84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170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261720" w:rsidTr="009F0D4D">
        <w:trPr>
          <w:trHeight w:val="630"/>
          <w:jc w:val="center"/>
        </w:trPr>
        <w:tc>
          <w:tcPr>
            <w:tcW w:w="4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№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Сведения о ценах, значениях и параметрах, подлежащих представлению органом регулирования организатору конкурса в соответствии с ст. 41.1 Федерального закона "О водоснабжении и водоотведении", с п.60 правил регулирования тарифов в сфере водоснабжения и водоотведения, утвержденных постановлением Правительства РФ "О государственном регулировании тарифов в сфере водоснабжения и водоотведения"</w:t>
            </w:r>
          </w:p>
        </w:tc>
        <w:tc>
          <w:tcPr>
            <w:tcW w:w="1169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 xml:space="preserve">Сведения Администрации муниципального образования </w:t>
            </w:r>
            <w:proofErr w:type="spellStart"/>
            <w:r>
              <w:rPr>
                <w:b/>
                <w:bCs/>
                <w:color w:val="000000"/>
              </w:rPr>
              <w:t>Саракташский</w:t>
            </w:r>
            <w:proofErr w:type="spellEnd"/>
            <w:r>
              <w:rPr>
                <w:b/>
                <w:bCs/>
                <w:color w:val="000000"/>
              </w:rPr>
              <w:t xml:space="preserve"> район Оренбургской области</w:t>
            </w:r>
          </w:p>
        </w:tc>
      </w:tr>
      <w:tr w:rsidR="00261720" w:rsidTr="009F0D4D">
        <w:trPr>
          <w:trHeight w:val="315"/>
          <w:jc w:val="center"/>
        </w:trPr>
        <w:tc>
          <w:tcPr>
            <w:tcW w:w="4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2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Показатель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Единица измерения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b/>
                <w:bCs/>
                <w:color w:val="000000"/>
              </w:rPr>
              <w:t> </w:t>
            </w:r>
          </w:p>
        </w:tc>
      </w:tr>
      <w:tr w:rsidR="00261720" w:rsidTr="009F0D4D">
        <w:trPr>
          <w:trHeight w:val="765"/>
          <w:jc w:val="center"/>
        </w:trPr>
        <w:tc>
          <w:tcPr>
            <w:tcW w:w="4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432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2025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2026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2027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2029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2030</w:t>
            </w:r>
          </w:p>
        </w:tc>
      </w:tr>
      <w:tr w:rsidR="00261720" w:rsidTr="009F0D4D">
        <w:trPr>
          <w:trHeight w:val="505"/>
          <w:jc w:val="center"/>
        </w:trPr>
        <w:tc>
          <w:tcPr>
            <w:tcW w:w="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121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Метод регулирования тарифов</w:t>
            </w:r>
          </w:p>
        </w:tc>
        <w:tc>
          <w:tcPr>
            <w:tcW w:w="11695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метод индексации</w:t>
            </w:r>
          </w:p>
        </w:tc>
      </w:tr>
      <w:tr w:rsidR="00261720" w:rsidTr="009F0D4D">
        <w:trPr>
          <w:trHeight w:val="645"/>
          <w:jc w:val="center"/>
        </w:trPr>
        <w:tc>
          <w:tcPr>
            <w:tcW w:w="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2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 xml:space="preserve">Индекс эффективности операционных расходов 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</w:tr>
      <w:tr w:rsidR="00261720" w:rsidTr="009F0D4D">
        <w:trPr>
          <w:trHeight w:val="300"/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Долгосрочные параметры государственного регулирования цен (тарифов) в сфере водоснабжения и водоотведения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1) базовый уровень операционных расходов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471,73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261720" w:rsidTr="009F0D4D">
        <w:trPr>
          <w:trHeight w:val="300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2) показатели энергетической эффективности использования ресурсов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99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84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17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</w:tr>
      <w:tr w:rsidR="00261720" w:rsidTr="009F0D4D">
        <w:trPr>
          <w:trHeight w:val="900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кВт*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/м</w:t>
            </w:r>
            <w:r>
              <w:rPr>
                <w:rFonts w:cs="Calibri"/>
                <w:color w:val="000000"/>
              </w:rPr>
              <w:t>³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1,32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1,32</w:t>
            </w:r>
          </w:p>
        </w:tc>
      </w:tr>
      <w:tr w:rsidR="00261720" w:rsidTr="009F0D4D">
        <w:trPr>
          <w:trHeight w:val="885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t>8,99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8,99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8,99</w:t>
            </w:r>
          </w:p>
        </w:tc>
      </w:tr>
      <w:tr w:rsidR="00261720" w:rsidTr="009F0D4D">
        <w:trPr>
          <w:trHeight w:val="315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3) нормативный уровень прибыли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0,0</w:t>
            </w:r>
          </w:p>
        </w:tc>
      </w:tr>
      <w:tr w:rsidR="00261720" w:rsidTr="009F0D4D">
        <w:trPr>
          <w:trHeight w:val="975"/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412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Объем отпуска воды и (или) водоотведения в году, предшествующем первому году действия концессионного соглашения.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rFonts w:cs="Calibri"/>
                <w:color w:val="000000"/>
              </w:rPr>
              <w:t>³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6,24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</w:p>
        </w:tc>
      </w:tr>
      <w:tr w:rsidR="00261720" w:rsidTr="009F0D4D">
        <w:trPr>
          <w:trHeight w:val="864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Прогноз объема отпуска воды и (или) водоотведения на срок действия концессионного соглашения.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rFonts w:cs="Calibri"/>
                <w:color w:val="000000"/>
              </w:rPr>
              <w:t>³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6,24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6,24</w:t>
            </w:r>
          </w:p>
        </w:tc>
      </w:tr>
      <w:tr w:rsidR="00261720" w:rsidTr="009F0D4D">
        <w:trPr>
          <w:trHeight w:val="1101"/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41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Цены на энергетические ресурсы в году, предшествующем первому году срока действия концессионного соглашения, а также прогнозные цены на срок действия такого договора аренды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средний тариф на энергетические ресурсы (электроэнергия) в году, предшествующем первому году срока действия концессионного соглашения с НДС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руб./кВт*</w:t>
            </w:r>
            <w:proofErr w:type="gramStart"/>
            <w:r>
              <w:rPr>
                <w:color w:val="000000"/>
              </w:rPr>
              <w:t>ч</w:t>
            </w:r>
            <w:proofErr w:type="gramEnd"/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7,65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</w:p>
        </w:tc>
      </w:tr>
      <w:tr w:rsidR="00261720" w:rsidTr="009F0D4D">
        <w:trPr>
          <w:trHeight w:val="563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прогноз цен на срок действия концессионного соглашения с НДС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руб./кВт*</w:t>
            </w:r>
            <w:proofErr w:type="gramStart"/>
            <w:r>
              <w:rPr>
                <w:color w:val="000000"/>
              </w:rPr>
              <w:t>ч</w:t>
            </w:r>
            <w:proofErr w:type="gramEnd"/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8,66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9,45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9,91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10,31</w:t>
            </w:r>
          </w:p>
        </w:tc>
        <w:tc>
          <w:tcPr>
            <w:tcW w:w="101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10,72</w:t>
            </w:r>
          </w:p>
        </w:tc>
      </w:tr>
      <w:tr w:rsidR="00261720" w:rsidTr="009F0D4D">
        <w:trPr>
          <w:trHeight w:val="2100"/>
          <w:jc w:val="center"/>
        </w:trPr>
        <w:tc>
          <w:tcPr>
            <w:tcW w:w="4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412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 xml:space="preserve">Величина неподконтрольных расходов, определенная в соответствии с основами ценообразования в сфере водоснабжения и водоотведения, утвержденными Правительством Российской Федерации, за исключением расходов на </w:t>
            </w:r>
            <w:r>
              <w:rPr>
                <w:color w:val="000000"/>
              </w:rPr>
              <w:lastRenderedPageBreak/>
              <w:t>энергетические ресурсы, налога на прибыль организаций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lastRenderedPageBreak/>
              <w:t>величина неподконтрольных расходов, за исключением расходов на энергетические ресурсы, налога на прибыль организаций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10,7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11,9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12,4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12,9</w:t>
            </w:r>
          </w:p>
        </w:tc>
      </w:tr>
      <w:tr w:rsidR="00261720" w:rsidTr="009F0D4D">
        <w:trPr>
          <w:trHeight w:val="585"/>
          <w:jc w:val="center"/>
        </w:trPr>
        <w:tc>
          <w:tcPr>
            <w:tcW w:w="49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412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Предельные (минимальные и (или) максимальные) значения критериев конкурса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 xml:space="preserve">долгосрочные параметры </w:t>
            </w:r>
            <w:proofErr w:type="spellStart"/>
            <w:proofErr w:type="gramStart"/>
            <w:r>
              <w:rPr>
                <w:color w:val="000000"/>
              </w:rPr>
              <w:t>государствен-ного</w:t>
            </w:r>
            <w:proofErr w:type="spellEnd"/>
            <w:proofErr w:type="gramEnd"/>
            <w:r>
              <w:rPr>
                <w:color w:val="000000"/>
              </w:rPr>
              <w:t xml:space="preserve"> регулирования цен (тарифов) в сфере водоснабжения и водоотведения</w:t>
            </w:r>
          </w:p>
        </w:tc>
        <w:tc>
          <w:tcPr>
            <w:tcW w:w="7371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смотри пункт 3</w:t>
            </w:r>
          </w:p>
        </w:tc>
      </w:tr>
      <w:tr w:rsidR="00261720" w:rsidTr="009F0D4D">
        <w:trPr>
          <w:trHeight w:val="1560"/>
          <w:jc w:val="center"/>
        </w:trPr>
        <w:tc>
          <w:tcPr>
            <w:tcW w:w="49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12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 xml:space="preserve">объем финансовой поддержки, необходимой концессионеру и предоставляемой </w:t>
            </w:r>
            <w:proofErr w:type="spellStart"/>
            <w:r>
              <w:rPr>
                <w:color w:val="000000"/>
              </w:rPr>
              <w:t>концедентом</w:t>
            </w:r>
            <w:proofErr w:type="spellEnd"/>
            <w:r>
              <w:rPr>
                <w:color w:val="000000"/>
              </w:rPr>
              <w:t xml:space="preserve"> в целях  возмещения затрат или недополученных доходов в связи с производством, поставками товаров, оказанием услуг с использованием систем и (или) объектов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тыс. руб.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</w:tr>
      <w:tr w:rsidR="00261720" w:rsidTr="009F0D4D">
        <w:trPr>
          <w:trHeight w:val="1025"/>
          <w:jc w:val="center"/>
        </w:trPr>
        <w:tc>
          <w:tcPr>
            <w:tcW w:w="491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4121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Предельный (максимальный) рост необходимой валовой выручки  концессионера от осуществления регулируемых видов деятельности в сфере водоснабжения по отношению к каждому предыдущему году</w:t>
            </w:r>
          </w:p>
        </w:tc>
        <w:tc>
          <w:tcPr>
            <w:tcW w:w="432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предельный (максимальный) рост необходимой валовой выручки  концессионера (среднегодовой индекс роста)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9,8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8,9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5,9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4,0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4,0</w:t>
            </w:r>
          </w:p>
        </w:tc>
      </w:tr>
      <w:tr w:rsidR="00261720" w:rsidTr="009F0D4D">
        <w:trPr>
          <w:trHeight w:val="280"/>
          <w:jc w:val="center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jc w:val="right"/>
              <w:rPr>
                <w:color w:val="000000"/>
              </w:rPr>
            </w:pPr>
          </w:p>
        </w:tc>
        <w:tc>
          <w:tcPr>
            <w:tcW w:w="4258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необходимая валовая выручка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уб.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625,5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681,1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721,3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750,1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780,2</w:t>
            </w:r>
          </w:p>
        </w:tc>
      </w:tr>
      <w:tr w:rsidR="00261720" w:rsidTr="009F0D4D">
        <w:trPr>
          <w:trHeight w:val="329"/>
          <w:jc w:val="center"/>
        </w:trPr>
        <w:tc>
          <w:tcPr>
            <w:tcW w:w="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15744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Плановые значения показателей деятельности концессионера</w:t>
            </w:r>
          </w:p>
        </w:tc>
      </w:tr>
      <w:tr w:rsidR="00261720" w:rsidTr="009F0D4D">
        <w:trPr>
          <w:trHeight w:val="1500"/>
          <w:jc w:val="center"/>
        </w:trPr>
        <w:tc>
          <w:tcPr>
            <w:tcW w:w="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9.1</w:t>
            </w:r>
          </w:p>
        </w:tc>
        <w:tc>
          <w:tcPr>
            <w:tcW w:w="41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Показатели качества воды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</w:t>
            </w:r>
            <w:r>
              <w:rPr>
                <w:color w:val="000000"/>
              </w:rPr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t>0</w:t>
            </w:r>
          </w:p>
        </w:tc>
      </w:tr>
      <w:tr w:rsidR="00261720" w:rsidTr="009F0D4D">
        <w:trPr>
          <w:trHeight w:val="1500"/>
          <w:jc w:val="center"/>
        </w:trPr>
        <w:tc>
          <w:tcPr>
            <w:tcW w:w="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jc w:val="right"/>
              <w:rPr>
                <w:color w:val="000000"/>
              </w:rPr>
            </w:pPr>
          </w:p>
        </w:tc>
        <w:tc>
          <w:tcPr>
            <w:tcW w:w="41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</w:tr>
      <w:tr w:rsidR="00261720" w:rsidTr="009F0D4D">
        <w:trPr>
          <w:trHeight w:val="1500"/>
          <w:jc w:val="center"/>
        </w:trPr>
        <w:tc>
          <w:tcPr>
            <w:tcW w:w="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9.2</w:t>
            </w:r>
          </w:p>
        </w:tc>
        <w:tc>
          <w:tcPr>
            <w:tcW w:w="41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Показатели надежности и бесперебойности холодного водоснабжения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proofErr w:type="spellStart"/>
            <w:proofErr w:type="gramStart"/>
            <w:r>
              <w:rPr>
                <w:color w:val="000000"/>
              </w:rPr>
              <w:t>ед</w:t>
            </w:r>
            <w:proofErr w:type="spellEnd"/>
            <w:proofErr w:type="gramEnd"/>
            <w:r>
              <w:rPr>
                <w:color w:val="000000"/>
              </w:rPr>
              <w:t>/км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center"/>
            </w:pPr>
            <w:r>
              <w:t>0</w:t>
            </w:r>
          </w:p>
        </w:tc>
      </w:tr>
      <w:tr w:rsidR="00261720" w:rsidTr="009F0D4D">
        <w:trPr>
          <w:trHeight w:val="563"/>
          <w:jc w:val="center"/>
        </w:trPr>
        <w:tc>
          <w:tcPr>
            <w:tcW w:w="56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41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1720" w:rsidRDefault="00261720" w:rsidP="009F0D4D">
            <w:pPr>
              <w:widowControl w:val="0"/>
            </w:pPr>
            <w:r>
              <w:rPr>
                <w:color w:val="000000"/>
              </w:rPr>
              <w:t>Иные цены, величины, значения, параметры, использование которых для расчета тарифов предусмотрено основами ценообразования в сфере водоснабжения, утвержденными Правительством Российской Федерации</w:t>
            </w:r>
          </w:p>
        </w:tc>
        <w:tc>
          <w:tcPr>
            <w:tcW w:w="42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61720" w:rsidRDefault="00261720" w:rsidP="009F0D4D">
            <w:pPr>
              <w:widowControl w:val="0"/>
              <w:jc w:val="center"/>
            </w:pPr>
            <w:r>
              <w:t>-</w:t>
            </w:r>
          </w:p>
        </w:tc>
      </w:tr>
    </w:tbl>
    <w:p w:rsidR="00AF272A" w:rsidRDefault="00AF272A"/>
    <w:sectPr w:rsidR="00AF272A" w:rsidSect="000F56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56E5"/>
    <w:rsid w:val="0005682C"/>
    <w:rsid w:val="000E5E6A"/>
    <w:rsid w:val="000F56E5"/>
    <w:rsid w:val="00216D1C"/>
    <w:rsid w:val="00261720"/>
    <w:rsid w:val="003F25BA"/>
    <w:rsid w:val="004049FB"/>
    <w:rsid w:val="00912239"/>
    <w:rsid w:val="00974660"/>
    <w:rsid w:val="00AF272A"/>
    <w:rsid w:val="00BB5DE3"/>
    <w:rsid w:val="00D470F2"/>
    <w:rsid w:val="00EC6771"/>
    <w:rsid w:val="00F21836"/>
    <w:rsid w:val="00FB0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2024-07-15T09:49:00Z</dcterms:created>
  <dcterms:modified xsi:type="dcterms:W3CDTF">2026-04-07T05:22:00Z</dcterms:modified>
</cp:coreProperties>
</file>